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default" w:ascii="Calibri" w:hAnsi="Calibri" w:cs="Calibri"/>
          <w:b w:val="0"/>
          <w:color w:val="auto"/>
          <w:spacing w:val="0"/>
        </w:rPr>
      </w:pPr>
    </w:p>
    <w:p>
      <w:pPr>
        <w:rPr>
          <w:color w:val="FF0000"/>
        </w:rPr>
      </w:pPr>
    </w:p>
    <w:p>
      <w:pPr>
        <w:rPr>
          <w:color w:val="FF0000"/>
        </w:rPr>
      </w:pPr>
    </w:p>
    <w:p>
      <w:pPr>
        <w:tabs>
          <w:tab w:val="left" w:pos="5112"/>
        </w:tabs>
        <w:jc w:val="center"/>
        <w:rPr>
          <w:color w:val="FF0000"/>
          <w:spacing w:val="-18"/>
        </w:rPr>
      </w:pPr>
      <w:r>
        <w:rPr>
          <w:rFonts w:hint="eastAsia" w:ascii="方正小标宋简体" w:eastAsia="方正小标宋简体"/>
          <w:color w:val="FF0000"/>
          <w:spacing w:val="90"/>
          <w:sz w:val="82"/>
          <w:szCs w:val="72"/>
        </w:rPr>
        <w:t>河海大学部门文件</w:t>
      </w:r>
    </w:p>
    <w:p>
      <w:pPr>
        <w:tabs>
          <w:tab w:val="left" w:pos="2692"/>
        </w:tabs>
        <w:rPr>
          <w:color w:val="FF0000"/>
          <w:lang/>
        </w:rPr>
      </w:pPr>
    </w:p>
    <w:p>
      <w:pPr>
        <w:jc w:val="center"/>
        <w:rPr>
          <w:rFonts w:hint="eastAsia" w:ascii="仿宋_GB2312" w:hAnsi="仿宋_GB2312" w:eastAsia="仿宋_GB2312" w:cs="仿宋_GB2312"/>
          <w:lang w:eastAsia="zh-CN"/>
        </w:rPr>
      </w:pPr>
      <w:bookmarkStart w:id="0" w:name="list5"/>
      <w:bookmarkEnd w:id="0"/>
      <w:r>
        <w:rPr>
          <w:rFonts w:hint="eastAsia"/>
        </w:rPr>
        <w:t xml:space="preserve"> </w:t>
      </w:r>
      <w:bookmarkStart w:id="1" w:name="string10"/>
      <w:r>
        <w:rPr>
          <w:rFonts w:hint="eastAsia"/>
          <w:lang w:eastAsia="zh-CN"/>
        </w:rPr>
        <w:t>河海学工〔2021〕73号</w:t>
      </w:r>
      <w:bookmarkEnd w:id="1"/>
    </w:p>
    <w:p>
      <w:pPr>
        <w:tabs>
          <w:tab w:val="left" w:pos="2982"/>
        </w:tabs>
      </w:pPr>
      <w:r>
        <w:rPr>
          <w:rFonts w:hint="eastAsia" w:ascii="宋体" w:hAnsi="宋体"/>
          <w:color w:val="FF0000"/>
          <w:sz w:val="44"/>
        </w:rPr>
        <w:t>────────────────────</w:t>
      </w:r>
    </w:p>
    <w:p>
      <w:pPr>
        <w:tabs>
          <w:tab w:val="left" w:pos="2982"/>
        </w:tabs>
      </w:pPr>
    </w:p>
    <w:p>
      <w:pPr>
        <w:snapToGrid w:val="0"/>
        <w:jc w:val="center"/>
        <w:rPr>
          <w:rFonts w:hint="eastAsia" w:ascii="方正小标宋简体" w:hAnsi="宋体" w:eastAsia="方正小标宋简体"/>
          <w:sz w:val="44"/>
          <w:szCs w:val="32"/>
          <w:lang w:eastAsia="zh-CN"/>
        </w:rPr>
      </w:pPr>
      <w:bookmarkStart w:id="2" w:name="subject"/>
      <w:r>
        <w:rPr>
          <w:rFonts w:hint="eastAsia" w:ascii="方正小标宋简体" w:hAnsi="宋体" w:eastAsia="方正小标宋简体"/>
          <w:sz w:val="44"/>
          <w:szCs w:val="32"/>
          <w:lang w:eastAsia="zh-CN"/>
        </w:rPr>
        <w:t>关于印发《“安徽邦泰公益基金”管理办法》的通知</w:t>
      </w:r>
      <w:bookmarkEnd w:id="2"/>
    </w:p>
    <w:p>
      <w:pPr>
        <w:rPr>
          <w:rFonts w:ascii="仿宋_GB2312" w:hAnsi="宋体"/>
          <w:szCs w:val="32"/>
        </w:rPr>
      </w:pPr>
    </w:p>
    <w:p>
      <w:pPr>
        <w:rPr>
          <w:rFonts w:ascii="仿宋_GB2312" w:hAnsi="仿宋_GB2312" w:eastAsia="仿宋_GB2312" w:cs="仿宋_GB2312"/>
          <w:sz w:val="32"/>
          <w:szCs w:val="32"/>
        </w:rPr>
      </w:pPr>
      <w:bookmarkStart w:id="3" w:name="send_to"/>
      <w:bookmarkEnd w:id="3"/>
      <w:r>
        <w:rPr>
          <w:rFonts w:hint="eastAsia" w:ascii="仿宋_GB2312" w:hAnsi="仿宋_GB2312" w:eastAsia="仿宋_GB2312" w:cs="仿宋_GB2312"/>
          <w:sz w:val="32"/>
          <w:szCs w:val="32"/>
        </w:rPr>
        <w:t>各学院（部、系）：</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为充分发挥“安徽邦泰公益基金”作用，促进教育事业发展，奖励和资助优秀学生，激励广大学子积极进取、奋发图强，特制定《“安徽邦泰公益基金”管理办法》，现予以印发，请遵照执行。</w:t>
      </w:r>
    </w:p>
    <w:p>
      <w:pPr>
        <w:ind w:firstLine="632" w:firstLineChars="200"/>
        <w:jc w:val="right"/>
        <w:rPr>
          <w:rFonts w:ascii="仿宋_GB2312" w:hAnsi="仿宋_GB2312" w:eastAsia="仿宋_GB2312" w:cs="仿宋_GB2312"/>
          <w:sz w:val="32"/>
          <w:szCs w:val="32"/>
        </w:rPr>
      </w:pP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附件：“安徽邦泰公益基金”管理办法</w:t>
      </w:r>
    </w:p>
    <w:p>
      <w:pPr>
        <w:ind w:firstLine="632" w:firstLineChars="200"/>
        <w:rPr>
          <w:rFonts w:ascii="仿宋_GB2312" w:hAnsi="仿宋_GB2312" w:eastAsia="仿宋_GB2312" w:cs="仿宋_GB2312"/>
          <w:sz w:val="32"/>
          <w:szCs w:val="32"/>
        </w:rPr>
      </w:pPr>
    </w:p>
    <w:p>
      <w:pPr>
        <w:ind w:firstLine="632" w:firstLineChars="200"/>
        <w:rPr>
          <w:rFonts w:ascii="仿宋_GB2312" w:hAnsi="仿宋_GB2312" w:eastAsia="仿宋_GB2312" w:cs="仿宋_GB2312"/>
          <w:sz w:val="32"/>
          <w:szCs w:val="32"/>
        </w:rPr>
      </w:pPr>
    </w:p>
    <w:p>
      <w:pPr>
        <w:wordWrap/>
        <w:ind w:firstLine="632" w:firstLineChars="200"/>
        <w:jc w:val="left"/>
        <w:rPr>
          <w:rFonts w:hint="eastAsia" w:ascii="仿宋_GB2312" w:hAnsi="仿宋_GB2312" w:cs="仿宋_GB2312"/>
          <w:sz w:val="32"/>
          <w:szCs w:val="32"/>
          <w:lang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此页无正文</w:t>
      </w:r>
      <w:r>
        <w:rPr>
          <w:rFonts w:hint="eastAsia" w:ascii="仿宋_GB2312" w:hAnsi="仿宋_GB2312" w:cs="仿宋_GB2312"/>
          <w:sz w:val="32"/>
          <w:szCs w:val="32"/>
          <w:lang w:eastAsia="zh-CN"/>
        </w:rPr>
        <w:t>）</w:t>
      </w:r>
    </w:p>
    <w:p>
      <w:pPr>
        <w:wordWrap w:val="0"/>
        <w:ind w:firstLine="632"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学生工作处   </w:t>
      </w:r>
    </w:p>
    <w:p>
      <w:pPr>
        <w:ind w:firstLine="632"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2021年9月23日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“安徽邦泰公益基金”管理办法</w:t>
      </w:r>
    </w:p>
    <w:p>
      <w:pPr>
        <w:spacing w:before="156" w:beforeLines="50"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pPr>
        <w:spacing w:line="560" w:lineRule="exact"/>
        <w:ind w:firstLine="632" w:firstLineChars="200"/>
        <w:rPr>
          <w:rFonts w:ascii="仿宋" w:hAnsi="仿宋" w:eastAsia="仿宋" w:cs="仿宋"/>
          <w:sz w:val="32"/>
          <w:szCs w:val="32"/>
        </w:rPr>
      </w:pPr>
      <w:r>
        <w:rPr>
          <w:rFonts w:hint="eastAsia" w:ascii="仿宋" w:hAnsi="仿宋" w:eastAsia="仿宋" w:cs="仿宋"/>
          <w:sz w:val="32"/>
          <w:szCs w:val="32"/>
        </w:rPr>
        <w:t>安徽邦泰控股集团始创于1997年，董事长陈齐为河海大学1981级农田水利专业校友。为充分发挥“安徽邦泰公益基金”作用，促进教育事业发展，奖励和资助优秀学生，</w:t>
      </w:r>
      <w:r>
        <w:rPr>
          <w:rFonts w:hint="eastAsia" w:ascii="仿宋_GB2312" w:hAnsi="仿宋_GB2312" w:eastAsia="仿宋_GB2312" w:cs="仿宋_GB2312"/>
          <w:sz w:val="32"/>
          <w:szCs w:val="32"/>
        </w:rPr>
        <w:t>激励广大学子积极进取、奋发图强，</w:t>
      </w:r>
      <w:r>
        <w:rPr>
          <w:rFonts w:hint="eastAsia" w:ascii="仿宋" w:hAnsi="仿宋" w:eastAsia="仿宋" w:cs="仿宋"/>
          <w:sz w:val="32"/>
          <w:szCs w:val="32"/>
        </w:rPr>
        <w:t>特制订本管理办法。</w:t>
      </w:r>
    </w:p>
    <w:p>
      <w:pPr>
        <w:spacing w:line="560" w:lineRule="exact"/>
        <w:ind w:firstLine="632" w:firstLineChars="200"/>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本基金定名为：“安徽邦泰公益基金”。</w:t>
      </w:r>
    </w:p>
    <w:p>
      <w:pPr>
        <w:spacing w:line="560" w:lineRule="exact"/>
        <w:ind w:firstLine="632" w:firstLineChars="20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奖励项目</w:t>
      </w:r>
    </w:p>
    <w:p>
      <w:pPr>
        <w:spacing w:line="560" w:lineRule="exact"/>
        <w:ind w:firstLine="632" w:firstLineChars="200"/>
        <w:rPr>
          <w:rFonts w:ascii="仿宋" w:hAnsi="仿宋" w:eastAsia="仿宋" w:cs="仿宋"/>
          <w:sz w:val="32"/>
          <w:szCs w:val="32"/>
        </w:rPr>
      </w:pPr>
      <w:r>
        <w:rPr>
          <w:rFonts w:hint="eastAsia" w:ascii="仿宋" w:hAnsi="仿宋" w:eastAsia="仿宋" w:cs="仿宋"/>
          <w:sz w:val="32"/>
          <w:szCs w:val="32"/>
        </w:rPr>
        <w:t>（一）安徽邦泰优秀学生奖学金用于奖励河海大学品学兼优的全日制在读本科生。“安徽邦泰优秀学生奖学金”自2021年起每学年评选一次，连评三年。农业科学与工程学院获奖名额为40名，其他学院获奖名额为60名。奖励金额为7000元/人。</w:t>
      </w:r>
    </w:p>
    <w:p>
      <w:pPr>
        <w:spacing w:line="560" w:lineRule="exact"/>
        <w:ind w:firstLine="632" w:firstLineChars="200"/>
        <w:rPr>
          <w:rFonts w:ascii="仿宋" w:hAnsi="仿宋" w:eastAsia="仿宋" w:cs="仿宋"/>
          <w:sz w:val="32"/>
          <w:szCs w:val="32"/>
        </w:rPr>
      </w:pPr>
      <w:r>
        <w:rPr>
          <w:rFonts w:hint="eastAsia" w:ascii="仿宋" w:hAnsi="仿宋" w:eastAsia="仿宋" w:cs="仿宋"/>
          <w:sz w:val="32"/>
          <w:szCs w:val="32"/>
        </w:rPr>
        <w:t>（二）安徽邦泰农水专项助学金用于资助农业科学与工程学院家庭经济困难全日制在读本科生。“安徽邦泰农水专项助学金”自2021年起每学年评选一次，连评三年。资助名额60名，资助金额为5000元/人。</w:t>
      </w:r>
    </w:p>
    <w:p>
      <w:pPr>
        <w:spacing w:line="560" w:lineRule="exact"/>
        <w:rPr>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组织机构</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第三条</w:t>
      </w:r>
      <w:r>
        <w:rPr>
          <w:rFonts w:ascii="仿宋" w:hAnsi="仿宋" w:eastAsia="仿宋" w:cs="仿宋"/>
          <w:sz w:val="32"/>
          <w:szCs w:val="32"/>
        </w:rPr>
        <w:t xml:space="preserve"> 设立</w:t>
      </w:r>
      <w:r>
        <w:rPr>
          <w:rFonts w:hint="eastAsia" w:ascii="仿宋" w:hAnsi="仿宋" w:eastAsia="仿宋" w:cs="仿宋"/>
          <w:sz w:val="32"/>
          <w:szCs w:val="32"/>
        </w:rPr>
        <w:t>安徽邦泰公益基金</w:t>
      </w:r>
      <w:r>
        <w:rPr>
          <w:rFonts w:ascii="仿宋" w:hAnsi="仿宋" w:eastAsia="仿宋" w:cs="仿宋"/>
          <w:sz w:val="32"/>
          <w:szCs w:val="32"/>
        </w:rPr>
        <w:t>评奖委员会（以下简称评奖委员会），负责本基金的管理。</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第四条</w:t>
      </w:r>
      <w:r>
        <w:rPr>
          <w:rFonts w:ascii="仿宋" w:hAnsi="仿宋" w:eastAsia="仿宋" w:cs="仿宋"/>
          <w:sz w:val="32"/>
          <w:szCs w:val="32"/>
        </w:rPr>
        <w:t xml:space="preserve"> 评奖委员会设主任一名、副主任、委员若干名。</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第五条</w:t>
      </w:r>
      <w:r>
        <w:rPr>
          <w:rFonts w:ascii="仿宋" w:hAnsi="仿宋" w:eastAsia="仿宋" w:cs="仿宋"/>
          <w:sz w:val="32"/>
          <w:szCs w:val="32"/>
        </w:rPr>
        <w:t xml:space="preserve"> 评奖委员会主任、副主任、委员由学校聘任，并可根据工作需要调整。</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第六条</w:t>
      </w:r>
      <w:r>
        <w:rPr>
          <w:rFonts w:ascii="仿宋" w:hAnsi="仿宋" w:eastAsia="仿宋" w:cs="仿宋"/>
          <w:sz w:val="32"/>
          <w:szCs w:val="32"/>
        </w:rPr>
        <w:t xml:space="preserve"> 评奖委员会职责：</w:t>
      </w:r>
    </w:p>
    <w:p>
      <w:pPr>
        <w:spacing w:line="560" w:lineRule="exact"/>
        <w:ind w:firstLine="632" w:firstLineChars="200"/>
        <w:rPr>
          <w:rFonts w:ascii="仿宋" w:hAnsi="仿宋" w:eastAsia="仿宋" w:cs="仿宋"/>
          <w:sz w:val="32"/>
          <w:szCs w:val="32"/>
        </w:rPr>
      </w:pPr>
      <w:r>
        <w:rPr>
          <w:rFonts w:ascii="仿宋" w:hAnsi="仿宋" w:eastAsia="仿宋" w:cs="仿宋"/>
          <w:sz w:val="32"/>
          <w:szCs w:val="32"/>
        </w:rPr>
        <w:t>（一）负责筹集和扩展本基金；</w:t>
      </w:r>
    </w:p>
    <w:p>
      <w:pPr>
        <w:spacing w:line="560" w:lineRule="exact"/>
        <w:ind w:firstLine="632" w:firstLineChars="200"/>
        <w:rPr>
          <w:rFonts w:ascii="仿宋" w:hAnsi="仿宋" w:eastAsia="仿宋" w:cs="仿宋"/>
          <w:sz w:val="32"/>
          <w:szCs w:val="32"/>
        </w:rPr>
      </w:pPr>
      <w:r>
        <w:rPr>
          <w:rFonts w:ascii="仿宋" w:hAnsi="仿宋" w:eastAsia="仿宋" w:cs="仿宋"/>
          <w:sz w:val="32"/>
          <w:szCs w:val="32"/>
        </w:rPr>
        <w:t>（二）负责审批、修订及调整基金奖励和资助项目，授权各责任单位制定实施细则；</w:t>
      </w:r>
    </w:p>
    <w:p>
      <w:pPr>
        <w:spacing w:line="560" w:lineRule="exact"/>
        <w:ind w:firstLine="632" w:firstLineChars="200"/>
        <w:rPr>
          <w:rFonts w:ascii="仿宋" w:hAnsi="仿宋" w:eastAsia="仿宋" w:cs="仿宋"/>
          <w:sz w:val="32"/>
          <w:szCs w:val="32"/>
        </w:rPr>
      </w:pPr>
      <w:r>
        <w:rPr>
          <w:rFonts w:ascii="仿宋" w:hAnsi="仿宋" w:eastAsia="仿宋" w:cs="仿宋"/>
          <w:sz w:val="32"/>
          <w:szCs w:val="32"/>
        </w:rPr>
        <w:t>（三）评审各类奖项；</w:t>
      </w:r>
    </w:p>
    <w:p>
      <w:pPr>
        <w:spacing w:line="560" w:lineRule="exact"/>
        <w:ind w:firstLine="632" w:firstLineChars="200"/>
        <w:rPr>
          <w:rFonts w:ascii="仿宋" w:hAnsi="仿宋" w:eastAsia="仿宋" w:cs="仿宋"/>
          <w:sz w:val="32"/>
          <w:szCs w:val="32"/>
        </w:rPr>
      </w:pPr>
      <w:r>
        <w:rPr>
          <w:rFonts w:ascii="仿宋" w:hAnsi="仿宋" w:eastAsia="仿宋" w:cs="仿宋"/>
          <w:sz w:val="32"/>
          <w:szCs w:val="32"/>
        </w:rPr>
        <w:t>（四）审定年度评奖计划和决算；</w:t>
      </w:r>
    </w:p>
    <w:p>
      <w:pPr>
        <w:spacing w:line="560" w:lineRule="exact"/>
        <w:ind w:firstLine="632" w:firstLineChars="200"/>
        <w:rPr>
          <w:rFonts w:ascii="仿宋" w:hAnsi="仿宋" w:eastAsia="仿宋" w:cs="仿宋"/>
          <w:sz w:val="32"/>
          <w:szCs w:val="32"/>
        </w:rPr>
      </w:pPr>
      <w:r>
        <w:rPr>
          <w:rFonts w:ascii="仿宋" w:hAnsi="仿宋" w:eastAsia="仿宋" w:cs="仿宋"/>
          <w:sz w:val="32"/>
          <w:szCs w:val="32"/>
        </w:rPr>
        <w:t>（五）批准年度工作计划和预算；</w:t>
      </w:r>
    </w:p>
    <w:p>
      <w:pPr>
        <w:spacing w:line="560" w:lineRule="exact"/>
        <w:ind w:firstLine="632" w:firstLineChars="200"/>
        <w:rPr>
          <w:rFonts w:ascii="仿宋" w:hAnsi="仿宋" w:eastAsia="仿宋" w:cs="仿宋"/>
          <w:sz w:val="32"/>
          <w:szCs w:val="32"/>
        </w:rPr>
      </w:pPr>
      <w:r>
        <w:rPr>
          <w:rFonts w:ascii="仿宋" w:hAnsi="仿宋" w:eastAsia="仿宋" w:cs="仿宋"/>
          <w:sz w:val="32"/>
          <w:szCs w:val="32"/>
        </w:rPr>
        <w:t>（六）决定其他相关事项。</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第七条</w:t>
      </w:r>
      <w:r>
        <w:rPr>
          <w:rFonts w:ascii="仿宋" w:hAnsi="仿宋" w:eastAsia="仿宋" w:cs="仿宋"/>
          <w:sz w:val="32"/>
          <w:szCs w:val="32"/>
        </w:rPr>
        <w:t xml:space="preserve"> 评奖委员会下设秘书处，负责本基金的日常管理工作。</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第八条</w:t>
      </w:r>
      <w:r>
        <w:rPr>
          <w:rFonts w:ascii="仿宋" w:hAnsi="仿宋" w:eastAsia="仿宋" w:cs="仿宋"/>
          <w:sz w:val="32"/>
          <w:szCs w:val="32"/>
        </w:rPr>
        <w:t xml:space="preserve"> 秘书处职责</w:t>
      </w:r>
    </w:p>
    <w:p>
      <w:pPr>
        <w:spacing w:line="560" w:lineRule="exact"/>
        <w:ind w:firstLine="632" w:firstLineChars="200"/>
        <w:rPr>
          <w:rFonts w:ascii="仿宋" w:hAnsi="仿宋" w:eastAsia="仿宋" w:cs="仿宋"/>
          <w:sz w:val="32"/>
          <w:szCs w:val="32"/>
        </w:rPr>
      </w:pPr>
      <w:r>
        <w:rPr>
          <w:rFonts w:ascii="仿宋" w:hAnsi="仿宋" w:eastAsia="仿宋" w:cs="仿宋"/>
          <w:sz w:val="32"/>
          <w:szCs w:val="32"/>
        </w:rPr>
        <w:t>（一）负责奖励项目的计划编报；</w:t>
      </w:r>
    </w:p>
    <w:p>
      <w:pPr>
        <w:spacing w:line="560" w:lineRule="exact"/>
        <w:ind w:firstLine="632" w:firstLineChars="200"/>
        <w:rPr>
          <w:rFonts w:ascii="仿宋" w:hAnsi="仿宋" w:eastAsia="仿宋" w:cs="仿宋"/>
          <w:sz w:val="32"/>
          <w:szCs w:val="32"/>
        </w:rPr>
      </w:pPr>
      <w:r>
        <w:rPr>
          <w:rFonts w:ascii="仿宋" w:hAnsi="仿宋" w:eastAsia="仿宋" w:cs="仿宋"/>
          <w:sz w:val="32"/>
          <w:szCs w:val="32"/>
        </w:rPr>
        <w:t>（二）负责组织开展评奖活动（含根据批准计划分配奖学金名额）及审定评奖形式；</w:t>
      </w:r>
    </w:p>
    <w:p>
      <w:pPr>
        <w:spacing w:line="560" w:lineRule="exact"/>
        <w:ind w:firstLine="632" w:firstLineChars="200"/>
        <w:rPr>
          <w:rFonts w:ascii="仿宋" w:hAnsi="仿宋" w:eastAsia="仿宋" w:cs="仿宋"/>
          <w:sz w:val="32"/>
          <w:szCs w:val="32"/>
        </w:rPr>
      </w:pPr>
      <w:r>
        <w:rPr>
          <w:rFonts w:ascii="仿宋" w:hAnsi="仿宋" w:eastAsia="仿宋" w:cs="仿宋"/>
          <w:sz w:val="32"/>
          <w:szCs w:val="32"/>
        </w:rPr>
        <w:t>（三）负责评奖机构的组织运行，审查、协调评奖具体事宜；</w:t>
      </w:r>
    </w:p>
    <w:p>
      <w:pPr>
        <w:spacing w:line="560" w:lineRule="exact"/>
        <w:ind w:firstLine="632" w:firstLineChars="200"/>
        <w:rPr>
          <w:rFonts w:ascii="仿宋" w:hAnsi="仿宋" w:eastAsia="仿宋" w:cs="仿宋"/>
          <w:sz w:val="32"/>
          <w:szCs w:val="32"/>
        </w:rPr>
      </w:pPr>
      <w:r>
        <w:rPr>
          <w:rFonts w:ascii="仿宋" w:hAnsi="仿宋" w:eastAsia="仿宋" w:cs="仿宋"/>
          <w:sz w:val="32"/>
          <w:szCs w:val="32"/>
        </w:rPr>
        <w:t>（四）负责报送、公布评奖结果</w:t>
      </w:r>
      <w:r>
        <w:rPr>
          <w:rFonts w:hint="eastAsia" w:ascii="仿宋" w:hAnsi="仿宋" w:eastAsia="仿宋" w:cs="仿宋"/>
          <w:sz w:val="32"/>
          <w:szCs w:val="32"/>
        </w:rPr>
        <w:t>。</w:t>
      </w:r>
    </w:p>
    <w:p>
      <w:pPr>
        <w:spacing w:line="560" w:lineRule="exact"/>
        <w:rPr>
          <w:sz w:val="32"/>
          <w:szCs w:val="32"/>
        </w:rPr>
      </w:pPr>
      <w:bookmarkStart w:id="5" w:name="_GoBack"/>
      <w:bookmarkEnd w:id="5"/>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基金的管理与使用</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第九条</w:t>
      </w:r>
      <w:r>
        <w:rPr>
          <w:rFonts w:ascii="仿宋" w:hAnsi="仿宋" w:eastAsia="仿宋" w:cs="仿宋"/>
          <w:sz w:val="32"/>
          <w:szCs w:val="32"/>
        </w:rPr>
        <w:t xml:space="preserve"> 基金来源</w:t>
      </w:r>
      <w:r>
        <w:rPr>
          <w:rFonts w:hint="eastAsia" w:ascii="仿宋" w:hAnsi="仿宋" w:eastAsia="仿宋" w:cs="仿宋"/>
          <w:sz w:val="32"/>
          <w:szCs w:val="32"/>
        </w:rPr>
        <w:t>为</w:t>
      </w:r>
      <w:r>
        <w:rPr>
          <w:rFonts w:ascii="仿宋" w:hAnsi="仿宋" w:eastAsia="仿宋" w:cs="仿宋"/>
          <w:sz w:val="32"/>
          <w:szCs w:val="32"/>
        </w:rPr>
        <w:t>安徽邦泰公益基金</w:t>
      </w:r>
      <w:r>
        <w:rPr>
          <w:rFonts w:hint="eastAsia" w:ascii="仿宋" w:hAnsi="仿宋" w:eastAsia="仿宋" w:cs="仿宋"/>
          <w:sz w:val="32"/>
          <w:szCs w:val="32"/>
        </w:rPr>
        <w:t>会</w:t>
      </w:r>
      <w:r>
        <w:rPr>
          <w:rFonts w:ascii="仿宋" w:hAnsi="仿宋" w:eastAsia="仿宋" w:cs="仿宋"/>
          <w:sz w:val="32"/>
          <w:szCs w:val="32"/>
        </w:rPr>
        <w:t>捐赠</w:t>
      </w:r>
      <w:r>
        <w:rPr>
          <w:rFonts w:hint="eastAsia" w:ascii="仿宋" w:hAnsi="仿宋" w:eastAsia="仿宋" w:cs="仿宋"/>
          <w:sz w:val="32"/>
          <w:szCs w:val="32"/>
        </w:rPr>
        <w:t>。</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第十条</w:t>
      </w:r>
      <w:r>
        <w:rPr>
          <w:rFonts w:ascii="仿宋" w:hAnsi="仿宋" w:eastAsia="仿宋" w:cs="仿宋"/>
          <w:sz w:val="32"/>
          <w:szCs w:val="32"/>
        </w:rPr>
        <w:t xml:space="preserve"> 安徽邦泰公益基金按年度预算执行使用。增值收益部分用于本基金奖励项目、资助项目和管理费开支。</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第十一条</w:t>
      </w:r>
      <w:r>
        <w:rPr>
          <w:rFonts w:ascii="仿宋" w:hAnsi="仿宋" w:eastAsia="仿宋" w:cs="仿宋"/>
          <w:sz w:val="32"/>
          <w:szCs w:val="32"/>
        </w:rPr>
        <w:t xml:space="preserve"> 基金监督。安徽邦泰公益基金由河海大学教育发展基金会统一管理，并接受审计部门监督。基金评奖委员会秘书处定期向委员会和捐赠人报告基金收支情况。</w:t>
      </w:r>
    </w:p>
    <w:p>
      <w:pPr>
        <w:spacing w:line="560" w:lineRule="exact"/>
        <w:ind w:firstLine="632" w:firstLineChars="200"/>
        <w:rPr>
          <w:rFonts w:ascii="仿宋" w:hAnsi="仿宋" w:eastAsia="仿宋" w:cs="仿宋"/>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评奖程序</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第十二条</w:t>
      </w:r>
      <w:r>
        <w:rPr>
          <w:rFonts w:ascii="仿宋" w:hAnsi="仿宋" w:eastAsia="仿宋" w:cs="仿宋"/>
          <w:sz w:val="32"/>
          <w:szCs w:val="32"/>
        </w:rPr>
        <w:t xml:space="preserve"> 安徽邦泰公益基金评奖委员会秘书处根据当年奖金额度指标，发布“安徽邦泰公益基金”年度评奖通知。</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第十三条</w:t>
      </w:r>
      <w:r>
        <w:rPr>
          <w:rFonts w:ascii="仿宋" w:hAnsi="仿宋" w:eastAsia="仿宋" w:cs="仿宋"/>
          <w:sz w:val="32"/>
          <w:szCs w:val="32"/>
        </w:rPr>
        <w:t xml:space="preserve"> 组织推荐及申报。各责任单位建立评审专家库，遴选评审专家，并组织初评。初评名单报至安徽邦泰公益基金评奖委员会秘书处。</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第十四条</w:t>
      </w:r>
      <w:r>
        <w:rPr>
          <w:rFonts w:ascii="仿宋" w:hAnsi="仿宋" w:eastAsia="仿宋" w:cs="仿宋"/>
          <w:sz w:val="32"/>
          <w:szCs w:val="32"/>
        </w:rPr>
        <w:t xml:space="preserve"> 安徽邦泰公益基金评奖委员会组织审定初评名单，并公示结果（公示期≥3个工作日）。公示无异议后，公布获奖名单。</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第十五条</w:t>
      </w:r>
      <w:r>
        <w:rPr>
          <w:rFonts w:ascii="仿宋" w:hAnsi="仿宋" w:eastAsia="仿宋" w:cs="仿宋"/>
          <w:sz w:val="32"/>
          <w:szCs w:val="32"/>
        </w:rPr>
        <w:t xml:space="preserve"> 获奖者荣获证书及奖金。各责任单位负责办理奖金发放手续，教育发展基金会办公室统一发放奖金。</w:t>
      </w:r>
    </w:p>
    <w:p>
      <w:pPr>
        <w:spacing w:line="560" w:lineRule="exact"/>
        <w:rPr>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第五章  附 则</w:t>
      </w:r>
    </w:p>
    <w:p>
      <w:pPr>
        <w:spacing w:line="560" w:lineRule="exact"/>
        <w:ind w:firstLine="632" w:firstLineChars="200"/>
        <w:rPr>
          <w:rFonts w:ascii="仿宋" w:hAnsi="仿宋" w:eastAsia="仿宋" w:cs="仿宋"/>
          <w:sz w:val="32"/>
          <w:szCs w:val="32"/>
        </w:rPr>
      </w:pPr>
      <w:r>
        <w:rPr>
          <w:rFonts w:ascii="仿宋" w:hAnsi="仿宋" w:eastAsia="仿宋" w:cs="仿宋"/>
          <w:b/>
          <w:bCs/>
          <w:sz w:val="32"/>
          <w:szCs w:val="32"/>
        </w:rPr>
        <w:t>第十</w:t>
      </w:r>
      <w:r>
        <w:rPr>
          <w:rFonts w:hint="eastAsia" w:ascii="仿宋" w:hAnsi="仿宋" w:eastAsia="仿宋" w:cs="仿宋"/>
          <w:b/>
          <w:bCs/>
          <w:sz w:val="32"/>
          <w:szCs w:val="32"/>
        </w:rPr>
        <w:t>六</w:t>
      </w:r>
      <w:r>
        <w:rPr>
          <w:rFonts w:ascii="仿宋" w:hAnsi="仿宋" w:eastAsia="仿宋" w:cs="仿宋"/>
          <w:b/>
          <w:bCs/>
          <w:sz w:val="32"/>
          <w:szCs w:val="32"/>
        </w:rPr>
        <w:t>条</w:t>
      </w:r>
      <w:r>
        <w:rPr>
          <w:rFonts w:ascii="仿宋" w:hAnsi="仿宋" w:eastAsia="仿宋" w:cs="仿宋"/>
          <w:sz w:val="32"/>
          <w:szCs w:val="32"/>
        </w:rPr>
        <w:t xml:space="preserve"> 本办法经安徽邦泰公益基金评奖委员会审议通过之日起生效。</w:t>
      </w:r>
    </w:p>
    <w:p>
      <w:pPr>
        <w:spacing w:line="560" w:lineRule="exact"/>
        <w:ind w:firstLine="632" w:firstLineChars="200"/>
        <w:rPr>
          <w:rFonts w:hint="eastAsia"/>
        </w:rPr>
      </w:pPr>
      <w:r>
        <w:rPr>
          <w:rFonts w:ascii="仿宋" w:hAnsi="仿宋" w:eastAsia="仿宋" w:cs="仿宋"/>
          <w:b/>
          <w:bCs/>
          <w:sz w:val="32"/>
          <w:szCs w:val="32"/>
        </w:rPr>
        <w:t>第十</w:t>
      </w:r>
      <w:r>
        <w:rPr>
          <w:rFonts w:hint="eastAsia" w:ascii="仿宋" w:hAnsi="仿宋" w:eastAsia="仿宋" w:cs="仿宋"/>
          <w:b/>
          <w:bCs/>
          <w:sz w:val="32"/>
          <w:szCs w:val="32"/>
        </w:rPr>
        <w:t>七</w:t>
      </w:r>
      <w:r>
        <w:rPr>
          <w:rFonts w:ascii="仿宋" w:hAnsi="仿宋" w:eastAsia="仿宋" w:cs="仿宋"/>
          <w:b/>
          <w:bCs/>
          <w:sz w:val="32"/>
          <w:szCs w:val="32"/>
        </w:rPr>
        <w:t>条</w:t>
      </w:r>
      <w:r>
        <w:rPr>
          <w:rFonts w:ascii="仿宋" w:hAnsi="仿宋" w:eastAsia="仿宋" w:cs="仿宋"/>
          <w:sz w:val="32"/>
          <w:szCs w:val="32"/>
        </w:rPr>
        <w:t xml:space="preserve"> 本办法由安徽邦泰公益基金评奖委员会秘书处负责解释。</w:t>
      </w:r>
    </w:p>
    <w:p>
      <w:pPr>
        <w:pBdr>
          <w:top w:val="single" w:color="auto" w:sz="12" w:space="2"/>
        </w:pBdr>
        <w:snapToGrid w:val="0"/>
        <w:ind w:firstLine="138" w:firstLineChars="50"/>
        <w:jc w:val="left"/>
        <w:rPr>
          <w:rFonts w:ascii="仿宋_GB2312"/>
          <w:sz w:val="28"/>
          <w:szCs w:val="28"/>
        </w:rPr>
      </w:pPr>
      <w:r>
        <w:rPr>
          <w:rFonts w:hint="eastAsia" w:ascii="仿宋_GB2312"/>
          <w:sz w:val="28"/>
          <w:szCs w:val="28"/>
        </w:rPr>
        <w:t>河海大学</w:t>
      </w:r>
      <w:r>
        <w:rPr>
          <w:rFonts w:hint="eastAsia" w:ascii="仿宋_GB2312"/>
          <w:sz w:val="28"/>
          <w:szCs w:val="28"/>
          <w:lang w:val="en-US" w:eastAsia="zh-CN"/>
        </w:rPr>
        <w:t>学生工作处</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val="en-US" w:eastAsia="zh-CN"/>
        </w:rPr>
        <w:t>2021年9月23日</w:t>
      </w:r>
      <w:r>
        <w:rPr>
          <w:rFonts w:hint="eastAsia" w:ascii="仿宋_GB2312"/>
          <w:sz w:val="28"/>
          <w:szCs w:val="28"/>
        </w:rPr>
        <w:t>印发</w:t>
      </w:r>
    </w:p>
    <w:p>
      <w:pPr>
        <w:pBdr>
          <w:top w:val="single" w:color="auto" w:sz="8" w:space="1"/>
          <w:bottom w:val="single" w:color="auto" w:sz="12" w:space="1"/>
        </w:pBdr>
        <w:snapToGrid w:val="0"/>
        <w:ind w:firstLine="138" w:firstLineChars="50"/>
        <w:rPr>
          <w:rFonts w:hint="eastAsia" w:eastAsia="仿宋_GB2312"/>
          <w:sz w:val="28"/>
          <w:lang w:eastAsia="zh-CN"/>
        </w:rPr>
      </w:pPr>
      <w:r>
        <w:rPr>
          <w:rFonts w:hint="eastAsia"/>
          <w:sz w:val="28"/>
          <w:szCs w:val="28"/>
        </w:rPr>
        <w:t>录入：</w:t>
      </w:r>
      <w:r>
        <w:rPr>
          <w:rFonts w:hint="eastAsia"/>
          <w:sz w:val="28"/>
          <w:szCs w:val="28"/>
          <w:lang w:val="en-US" w:eastAsia="zh-CN"/>
        </w:rPr>
        <w:t>沈  洁</w:t>
      </w:r>
      <w:r>
        <w:rPr>
          <w:rFonts w:hint="eastAsia"/>
          <w:sz w:val="28"/>
          <w:szCs w:val="28"/>
        </w:rPr>
        <w:t xml:space="preserve">                                </w:t>
      </w:r>
      <w:r>
        <w:rPr>
          <w:sz w:val="28"/>
          <w:szCs w:val="28"/>
        </w:rPr>
        <w:t xml:space="preserve">      </w:t>
      </w:r>
      <w:r>
        <w:rPr>
          <w:rFonts w:hint="eastAsia"/>
          <w:sz w:val="28"/>
        </w:rPr>
        <w:t xml:space="preserve">校对： </w:t>
      </w:r>
      <w:bookmarkStart w:id="4" w:name="create_person"/>
      <w:r>
        <w:rPr>
          <w:rFonts w:hint="eastAsia"/>
          <w:sz w:val="28"/>
          <w:lang w:eastAsia="zh-CN"/>
        </w:rPr>
        <w:t>陈</w:t>
      </w:r>
      <w:r>
        <w:rPr>
          <w:rFonts w:hint="eastAsia"/>
          <w:sz w:val="28"/>
          <w:lang w:val="en-US" w:eastAsia="zh-CN"/>
        </w:rPr>
        <w:t xml:space="preserve">  </w:t>
      </w:r>
      <w:r>
        <w:rPr>
          <w:rFonts w:hint="eastAsia"/>
          <w:sz w:val="28"/>
          <w:lang w:eastAsia="zh-CN"/>
        </w:rPr>
        <w:t>智</w:t>
      </w:r>
      <w:bookmarkEnd w:id="4"/>
    </w:p>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1 -</w:t>
    </w:r>
    <w:r>
      <w:rPr>
        <w:rFonts w:ascii="宋体" w:hAnsi="宋体" w:eastAsia="宋体"/>
        <w:sz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2 -</w:t>
    </w:r>
    <w:r>
      <w:rPr>
        <w:rFonts w:ascii="宋体" w:hAnsi="宋体" w:eastAsia="宋体"/>
        <w:sz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newoa.hhu.edu.cn:80/seeyon/officeservlet"/>
  </w:docVars>
  <w:rsids>
    <w:rsidRoot w:val="00A4113F"/>
    <w:rsid w:val="00034B77"/>
    <w:rsid w:val="000C5C33"/>
    <w:rsid w:val="000F0459"/>
    <w:rsid w:val="001C357C"/>
    <w:rsid w:val="00247CF3"/>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F37C2"/>
    <w:rsid w:val="00D17F7A"/>
    <w:rsid w:val="00D37C06"/>
    <w:rsid w:val="00DD11FC"/>
    <w:rsid w:val="00E05A10"/>
    <w:rsid w:val="00E40DF9"/>
    <w:rsid w:val="00E53CDE"/>
    <w:rsid w:val="00E65643"/>
    <w:rsid w:val="00E700D5"/>
    <w:rsid w:val="00EA0EAF"/>
    <w:rsid w:val="00EA4D11"/>
    <w:rsid w:val="00EF0881"/>
    <w:rsid w:val="00F65CA4"/>
    <w:rsid w:val="00F879C3"/>
    <w:rsid w:val="00FA29C3"/>
    <w:rsid w:val="00FB73EA"/>
    <w:rsid w:val="00FC2D93"/>
    <w:rsid w:val="00FE35FD"/>
    <w:rsid w:val="61C35B9E"/>
    <w:rsid w:val="687E3C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Style w:val="5"/>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locked/>
    <w:uiPriority w:val="99"/>
    <w:rPr>
      <w:rFonts w:eastAsia="仿宋_GB2312" w:cs="Times New Roman"/>
      <w:sz w:val="18"/>
      <w:szCs w:val="18"/>
    </w:rPr>
  </w:style>
  <w:style w:type="character" w:customStyle="1" w:styleId="8">
    <w:name w:val="页脚 Char"/>
    <w:link w:val="3"/>
    <w:locked/>
    <w:uiPriority w:val="99"/>
    <w:rPr>
      <w:rFonts w:cs="Times New Roman"/>
      <w:sz w:val="18"/>
      <w:szCs w:val="18"/>
    </w:rPr>
  </w:style>
  <w:style w:type="character" w:customStyle="1" w:styleId="9">
    <w:name w:val="页眉 Char"/>
    <w:link w:val="4"/>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1247</Words>
  <Characters>141</Characters>
  <Lines>1</Lines>
  <Paragraphs>2</Paragraphs>
  <TotalTime>2</TotalTime>
  <ScaleCrop>false</ScaleCrop>
  <LinksUpToDate>false</LinksUpToDate>
  <CharactersWithSpaces>1386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2021-09-23T01:31:00Z</dcterms:created>
  <dc:creator>徐婕</dc:creator>
  <cp:lastModifiedBy>沈小妞</cp:lastModifiedBy>
  <cp:lastPrinted>2012-12-03T09:08:00Z</cp:lastPrinted>
  <dcterms:modified xsi:type="dcterms:W3CDTF">2021-09-23T07:46:44Z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A6FAC80914E74D8BBB3FEBC8FEE9098D</vt:lpwstr>
  </property>
</Properties>
</file>